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Times New Roman" w:eastAsia="黑体" w:cs="Times New Roman"/>
          <w:b/>
          <w:bCs/>
          <w:sz w:val="36"/>
          <w:szCs w:val="36"/>
        </w:rPr>
      </w:pPr>
      <w:r>
        <w:rPr>
          <w:rFonts w:hint="eastAsia" w:ascii="黑体" w:hAnsi="黑体" w:eastAsia="黑体" w:cs="Times New Roman"/>
          <w:b/>
          <w:sz w:val="36"/>
          <w:szCs w:val="36"/>
        </w:rPr>
        <w:t xml:space="preserve">四方藤 </w:t>
      </w:r>
      <w:r>
        <w:rPr>
          <w:rFonts w:ascii="黑体" w:hAnsi="黑体" w:eastAsia="黑体" w:cs="Times New Roman"/>
          <w:b/>
          <w:sz w:val="36"/>
          <w:szCs w:val="36"/>
        </w:rPr>
        <w:t xml:space="preserve"> </w:t>
      </w:r>
    </w:p>
    <w:p>
      <w:pPr>
        <w:spacing w:line="360" w:lineRule="auto"/>
        <w:jc w:val="center"/>
        <w:rPr>
          <w:rFonts w:ascii="黑体" w:hAnsi="Times New Roman" w:eastAsia="黑体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Si</w:t>
      </w:r>
      <w:r>
        <w:rPr>
          <w:rFonts w:ascii="黑体" w:hAnsi="Times New Roman" w:eastAsia="黑体" w:cs="Times New Roman"/>
          <w:sz w:val="24"/>
          <w:szCs w:val="24"/>
        </w:rPr>
        <w:t>fangteng</w:t>
      </w:r>
    </w:p>
    <w:p>
      <w:pPr>
        <w:jc w:val="center"/>
        <w:rPr>
          <w:rFonts w:ascii="Times New Roman" w:hAnsi="Times New Roman" w:eastAsia="宋体" w:cs="Times New Roman"/>
          <w:b/>
          <w:sz w:val="32"/>
          <w:szCs w:val="32"/>
        </w:rPr>
      </w:pPr>
      <w:r>
        <w:rPr>
          <w:rFonts w:ascii="Times New Roman" w:hAnsi="Times New Roman" w:eastAsia="宋体" w:cs="Times New Roman"/>
          <w:b/>
          <w:caps/>
          <w:kern w:val="0"/>
          <w:sz w:val="28"/>
          <w:szCs w:val="28"/>
        </w:rPr>
        <w:t>CISSI</w:t>
      </w:r>
      <w:r>
        <w:rPr>
          <w:rFonts w:ascii="Times New Roman" w:hAnsi="Times New Roman" w:eastAsia="宋体" w:cs="Times New Roman"/>
          <w:b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b/>
          <w:caps/>
          <w:kern w:val="0"/>
          <w:sz w:val="28"/>
          <w:szCs w:val="28"/>
        </w:rPr>
        <w:t>PTEROCLADAE</w:t>
      </w:r>
      <w:r>
        <w:rPr>
          <w:rFonts w:ascii="Times New Roman" w:hAnsi="Times New Roman" w:eastAsia="宋体" w:cs="Times New Roman"/>
          <w:b/>
          <w:caps/>
          <w:kern w:val="0"/>
          <w:sz w:val="28"/>
          <w:szCs w:val="28"/>
        </w:rPr>
        <w:t xml:space="preserve"> CAULIS</w:t>
      </w:r>
      <w:r>
        <w:rPr>
          <w:rFonts w:hint="eastAsia" w:ascii="Times New Roman" w:hAnsi="Times New Roman" w:eastAsia="宋体" w:cs="Times New Roman"/>
          <w:b/>
          <w:sz w:val="32"/>
          <w:szCs w:val="32"/>
        </w:rPr>
        <w:t xml:space="preserve"> </w:t>
      </w:r>
    </w:p>
    <w:p>
      <w:pPr>
        <w:jc w:val="center"/>
        <w:rPr>
          <w:rFonts w:ascii="Times New Roman" w:hAnsi="Times New Roman" w:eastAsia="宋体" w:cs="Times New Roman"/>
          <w:b/>
          <w:sz w:val="32"/>
          <w:szCs w:val="32"/>
        </w:rPr>
      </w:pPr>
    </w:p>
    <w:p>
      <w:pPr>
        <w:spacing w:line="580" w:lineRule="exact"/>
        <w:ind w:firstLine="542" w:firstLineChars="225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>【</w:t>
      </w:r>
      <w:r>
        <w:rPr>
          <w:rFonts w:hint="eastAsia" w:ascii="Times New Roman" w:hAnsi="Times New Roman" w:eastAsia="黑体" w:cs="Times New Roman"/>
          <w:b/>
          <w:bCs/>
          <w:sz w:val="24"/>
          <w:szCs w:val="24"/>
        </w:rPr>
        <w:t>来源</w:t>
      </w:r>
      <w:r>
        <w:rPr>
          <w:rFonts w:ascii="Times New Roman" w:hAnsi="Times New Roman" w:eastAsia="黑体" w:cs="Times New Roman"/>
          <w:b/>
          <w:bCs/>
          <w:sz w:val="24"/>
          <w:szCs w:val="24"/>
        </w:rPr>
        <w:t>】</w:t>
      </w:r>
      <w:r>
        <w:rPr>
          <w:rFonts w:hint="eastAsia" w:ascii="Times New Roman" w:hAnsi="Times New Roman" w:eastAsia="黑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本品为葡萄科植物翼茎白粉藤</w:t>
      </w:r>
      <w:r>
        <w:rPr>
          <w:rFonts w:ascii="Times New Roman" w:hAnsi="Times New Roman" w:eastAsia="宋体" w:cs="Times New Roman"/>
          <w:i/>
          <w:sz w:val="24"/>
          <w:szCs w:val="24"/>
        </w:rPr>
        <w:t>Cissus pteroclada</w:t>
      </w:r>
      <w:r>
        <w:rPr>
          <w:rFonts w:ascii="Times New Roman" w:hAnsi="Times New Roman" w:eastAsia="宋体" w:cs="Times New Roman"/>
          <w:sz w:val="24"/>
          <w:szCs w:val="24"/>
        </w:rPr>
        <w:t xml:space="preserve"> Hayata的干燥藤茎。</w:t>
      </w:r>
    </w:p>
    <w:p>
      <w:pPr>
        <w:spacing w:line="580" w:lineRule="exact"/>
        <w:ind w:firstLine="542" w:firstLineChars="225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>【炮制】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净制，干燥。</w:t>
      </w:r>
    </w:p>
    <w:p>
      <w:pPr>
        <w:spacing w:line="580" w:lineRule="exact"/>
        <w:ind w:firstLine="542" w:firstLineChars="225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>【性状】</w:t>
      </w:r>
      <w:r>
        <w:rPr>
          <w:rFonts w:ascii="Times New Roman" w:hAnsi="Times New Roman" w:eastAsia="宋体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本品呈</w:t>
      </w:r>
      <w:r>
        <w:rPr>
          <w:rFonts w:ascii="Times New Roman" w:hAnsi="Times New Roman" w:cs="Times New Roman"/>
          <w:kern w:val="0"/>
          <w:sz w:val="24"/>
          <w:szCs w:val="24"/>
        </w:rPr>
        <w:t>四棱形段状，直径0.3～1.6cm，有的节上有托叶残基，嫩茎段棱翅较明显。表面灰棕色或灰褐色，略粗糙，有纵皱纹。质坚韧，不易折断，断面纤维性。皮部薄，棕红色或灰褐色。木部淡黄色至灰黄色，针孔呈放射状排列。髓部近方形。气微，味微苦、酸。</w:t>
      </w:r>
    </w:p>
    <w:p>
      <w:pPr>
        <w:spacing w:line="580" w:lineRule="exact"/>
        <w:ind w:firstLine="542" w:firstLineChars="225"/>
        <w:rPr>
          <w:rFonts w:ascii="Times New Roman" w:hAnsi="Times New Roman" w:cs="Times New Roman" w:eastAsiaTheme="majorEastAsia"/>
          <w:kern w:val="0"/>
          <w:sz w:val="24"/>
          <w:szCs w:val="24"/>
          <w:lang w:val="zh-CN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>【鉴别】</w:t>
      </w:r>
      <w:r>
        <w:rPr>
          <w:rFonts w:hint="eastAsia" w:ascii="Times New Roman" w:hAnsi="Times New Roman" w:cs="Times New Roman" w:eastAsiaTheme="majorEastAsia"/>
          <w:kern w:val="0"/>
          <w:sz w:val="24"/>
          <w:szCs w:val="24"/>
          <w:lang w:val="zh-CN"/>
        </w:rPr>
        <w:t xml:space="preserve"> </w:t>
      </w:r>
      <w:r>
        <w:rPr>
          <w:rFonts w:ascii="Times New Roman" w:hAnsi="Times New Roman" w:cs="Times New Roman" w:eastAsiaTheme="majorEastAsia"/>
          <w:kern w:val="0"/>
          <w:sz w:val="24"/>
          <w:szCs w:val="24"/>
          <w:lang w:val="zh-CN"/>
        </w:rPr>
        <w:t>本品横切面：表皮细胞一列或残存，木栓细胞数列。栓内层有石细胞散在。中柱鞘纤维束环状，形成层</w:t>
      </w:r>
      <w:r>
        <w:rPr>
          <w:rFonts w:hint="eastAsia" w:ascii="Times New Roman" w:hAnsi="Times New Roman" w:cs="Times New Roman" w:eastAsiaTheme="majorEastAsia"/>
          <w:kern w:val="0"/>
          <w:sz w:val="24"/>
          <w:szCs w:val="24"/>
          <w:lang w:val="zh-CN"/>
        </w:rPr>
        <w:t>不</w:t>
      </w:r>
      <w:r>
        <w:rPr>
          <w:rFonts w:ascii="Times New Roman" w:hAnsi="Times New Roman" w:cs="Times New Roman" w:eastAsiaTheme="majorEastAsia"/>
          <w:kern w:val="0"/>
          <w:sz w:val="24"/>
          <w:szCs w:val="24"/>
          <w:lang w:val="zh-CN"/>
        </w:rPr>
        <w:t>明显。导管直径30～250μm。薄壁细胞富含淀粉粒，可见棕黄色分泌物、含草酸钙簇晶及草酸钙针晶束。</w:t>
      </w:r>
    </w:p>
    <w:p>
      <w:pPr>
        <w:spacing w:line="580" w:lineRule="exact"/>
        <w:ind w:firstLine="540" w:firstLineChars="225"/>
        <w:rPr>
          <w:rFonts w:ascii="Times New Roman" w:hAnsi="Times New Roman" w:cs="Times New Roman" w:eastAsiaTheme="majorEastAsia"/>
          <w:kern w:val="0"/>
          <w:sz w:val="24"/>
          <w:szCs w:val="24"/>
          <w:lang w:val="zh-CN"/>
        </w:rPr>
      </w:pPr>
      <w:r>
        <w:rPr>
          <w:rFonts w:ascii="Times New Roman" w:hAnsi="Times New Roman" w:cs="Times New Roman" w:eastAsiaTheme="majorEastAsia"/>
          <w:kern w:val="0"/>
          <w:sz w:val="24"/>
          <w:szCs w:val="24"/>
          <w:lang w:val="zh-CN"/>
        </w:rPr>
        <w:t>粉末淡棕红色。草酸钙针晶成束或散在，长40～80μm，草酸钙簇晶直径15～40μm。淀粉粒单个散在或多个相聚，直径5～20μm。石细胞黄色，类方形、长圆形或不规则形，直径40～200μm。网纹或具缘纹孔导管多见。纤维浅黄色，壁厚，成束或分离。木栓细胞黄色，表面观呈多角形或类方形。</w:t>
      </w:r>
    </w:p>
    <w:p>
      <w:pPr>
        <w:spacing w:line="580" w:lineRule="exact"/>
        <w:ind w:firstLine="540" w:firstLineChars="225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>（2）</w:t>
      </w:r>
      <w:r>
        <w:rPr>
          <w:rFonts w:ascii="Times New Roman" w:hAnsi="Times New Roman" w:cs="Times New Roman"/>
          <w:kern w:val="0"/>
          <w:sz w:val="24"/>
          <w:szCs w:val="24"/>
        </w:rPr>
        <w:t>取本品粉末1g，加甲醇20ml，超声处理30分钟，滤过，滤液作为供试品溶液。另取岩白菜素对照品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，</w:t>
      </w:r>
      <w:r>
        <w:rPr>
          <w:rFonts w:ascii="Times New Roman" w:hAnsi="Times New Roman" w:cs="Times New Roman"/>
          <w:kern w:val="0"/>
          <w:sz w:val="24"/>
          <w:szCs w:val="24"/>
        </w:rPr>
        <w:t>加甲醇制成每1ml含0.4mg的溶液，作为对照品溶液。照薄层色谱法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中国药典2020年版通则0502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）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试验，吸取供试品溶液各1～5µl、对照品溶液1µl，分别点于同一硅胶G薄层板上，以三氯甲烷-乙酸乙酯-甲醇 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2.5</w:t>
      </w:r>
      <w:r>
        <w:rPr>
          <w:rFonts w:hint="eastAsia" w:cs="Times New Roman" w:asciiTheme="minorEastAsia" w:hAnsiTheme="minorEastAsia"/>
          <w:kern w:val="0"/>
          <w:sz w:val="24"/>
          <w:szCs w:val="24"/>
        </w:rPr>
        <w:t>∶</w:t>
      </w:r>
      <w:r>
        <w:rPr>
          <w:rFonts w:ascii="Times New Roman" w:hAnsi="Times New Roman" w:cs="Times New Roman"/>
          <w:kern w:val="0"/>
          <w:sz w:val="24"/>
          <w:szCs w:val="24"/>
        </w:rPr>
        <w:t>2</w:t>
      </w:r>
      <w:r>
        <w:rPr>
          <w:rFonts w:hint="eastAsia" w:cs="Times New Roman" w:asciiTheme="minorEastAsia" w:hAnsiTheme="minorEastAsia"/>
          <w:kern w:val="0"/>
          <w:sz w:val="24"/>
          <w:szCs w:val="24"/>
        </w:rPr>
        <w:t>∶</w:t>
      </w:r>
      <w:r>
        <w:rPr>
          <w:rFonts w:ascii="Times New Roman" w:hAnsi="Times New Roman" w:cs="Times New Roman"/>
          <w:kern w:val="0"/>
          <w:sz w:val="24"/>
          <w:szCs w:val="24"/>
        </w:rPr>
        <w:t>1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 xml:space="preserve"> ）</w:t>
      </w:r>
      <w:r>
        <w:rPr>
          <w:rFonts w:ascii="Times New Roman" w:hAnsi="Times New Roman" w:cs="Times New Roman"/>
          <w:kern w:val="0"/>
          <w:sz w:val="24"/>
          <w:szCs w:val="24"/>
        </w:rPr>
        <w:t>为展开剂，展开，取出，晾干，喷以2%三氯化铁-2%铁氰化钾（1:1）混合溶液，热风吹至斑点显色清晰。供试品色谱中，在与对照品色谱相应的位置上，显相同颜色的斑点。</w:t>
      </w:r>
    </w:p>
    <w:p>
      <w:pPr>
        <w:spacing w:line="580" w:lineRule="exact"/>
        <w:ind w:firstLine="542" w:firstLineChars="225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>【检查】</w:t>
      </w:r>
      <w:r>
        <w:rPr>
          <w:rFonts w:hint="eastAsia" w:ascii="Times New Roman" w:hAnsi="Times New Roman" w:eastAsia="黑体" w:cs="Times New Roman"/>
          <w:sz w:val="24"/>
          <w:szCs w:val="24"/>
        </w:rPr>
        <w:t xml:space="preserve"> </w:t>
      </w:r>
      <w:r>
        <w:rPr>
          <w:rFonts w:ascii="Times New Roman" w:hAnsi="Times New Roman" w:eastAsia="黑体" w:cs="Times New Roman"/>
          <w:b/>
          <w:bCs/>
          <w:sz w:val="24"/>
          <w:szCs w:val="24"/>
        </w:rPr>
        <w:t>水分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不得过15</w:t>
      </w:r>
      <w:r>
        <w:rPr>
          <w:rFonts w:hint="eastAsia" w:ascii="Times New Roman" w:hAnsi="Times New Roman" w:eastAsia="宋体" w:cs="Times New Roman"/>
          <w:sz w:val="24"/>
          <w:szCs w:val="24"/>
        </w:rPr>
        <w:t>.0</w:t>
      </w:r>
      <w:r>
        <w:rPr>
          <w:rFonts w:ascii="Times New Roman" w:hAnsi="Times New Roman" w:eastAsia="宋体" w:cs="Times New Roman"/>
          <w:sz w:val="24"/>
          <w:szCs w:val="24"/>
        </w:rPr>
        <w:t>%（中国药典2020年版通则0832第二法）。</w:t>
      </w:r>
    </w:p>
    <w:p>
      <w:pPr>
        <w:spacing w:line="580" w:lineRule="exact"/>
        <w:ind w:firstLine="542" w:firstLineChars="225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>总灰分</w:t>
      </w:r>
      <w:r>
        <w:rPr>
          <w:rFonts w:hint="eastAsia" w:ascii="Times New Roman" w:hAnsi="Times New Roman" w:eastAsia="黑体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不得过7.0%（中国药典2020年版通则2302）。</w:t>
      </w:r>
    </w:p>
    <w:p>
      <w:pPr>
        <w:spacing w:line="580" w:lineRule="exact"/>
        <w:ind w:firstLine="542" w:firstLineChars="225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>【浸出物】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照水溶性浸出物测定法（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中国药典2020年版通则2201</w:t>
      </w:r>
      <w:r>
        <w:rPr>
          <w:rFonts w:ascii="Times New Roman" w:hAnsi="Times New Roman" w:eastAsia="宋体" w:cs="Times New Roman"/>
          <w:sz w:val="24"/>
          <w:szCs w:val="24"/>
        </w:rPr>
        <w:t>）项下的热浸法测定，不得少于15.0%。</w:t>
      </w:r>
    </w:p>
    <w:p>
      <w:pPr>
        <w:spacing w:line="360" w:lineRule="auto"/>
        <w:ind w:firstLine="542" w:firstLineChars="225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>【含量测定】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 w:val="24"/>
        </w:rPr>
        <w:t>照高效液相色谱法</w:t>
      </w:r>
      <w:r>
        <w:rPr>
          <w:rFonts w:ascii="Times New Roman" w:hAnsi="Times New Roman" w:cs="Times New Roman"/>
          <w:color w:val="000000"/>
          <w:kern w:val="0"/>
          <w:sz w:val="24"/>
          <w:lang w:val="zh-CN"/>
        </w:rPr>
        <w:t>（</w:t>
      </w:r>
      <w:r>
        <w:rPr>
          <w:rFonts w:ascii="Times New Roman" w:hAnsi="Times New Roman" w:cs="Times New Roman"/>
          <w:color w:val="000000"/>
          <w:kern w:val="0"/>
          <w:sz w:val="24"/>
        </w:rPr>
        <w:t>中国药典2020年版通则0512</w:t>
      </w:r>
      <w:r>
        <w:rPr>
          <w:rFonts w:ascii="Times New Roman" w:hAnsi="Times New Roman" w:cs="Times New Roman"/>
          <w:color w:val="000000"/>
          <w:kern w:val="0"/>
          <w:sz w:val="24"/>
          <w:lang w:val="zh-CN"/>
        </w:rPr>
        <w:t>）</w:t>
      </w:r>
      <w:r>
        <w:rPr>
          <w:rFonts w:ascii="Times New Roman" w:hAnsi="Times New Roman" w:cs="Times New Roman"/>
          <w:color w:val="000000"/>
          <w:kern w:val="0"/>
          <w:sz w:val="24"/>
        </w:rPr>
        <w:t>测定</w:t>
      </w:r>
    </w:p>
    <w:p>
      <w:pPr>
        <w:spacing w:line="360" w:lineRule="auto"/>
        <w:ind w:firstLine="540" w:firstLineChars="2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bCs/>
          <w:sz w:val="24"/>
          <w:szCs w:val="24"/>
        </w:rPr>
        <w:t>色谱条件与系统适用性试验</w:t>
      </w:r>
      <w:r>
        <w:rPr>
          <w:rFonts w:hint="eastAsia" w:ascii="Times New Roman" w:hAnsi="Times New Roman" w:eastAsia="黑体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以十八烷基硅烷键合硅胶为填充剂；以</w:t>
      </w:r>
      <w:r>
        <w:rPr>
          <w:rFonts w:hint="eastAsia" w:ascii="Times New Roman" w:hAnsi="Times New Roman" w:cs="Times New Roman"/>
          <w:sz w:val="24"/>
          <w:szCs w:val="24"/>
        </w:rPr>
        <w:t>甲醇</w:t>
      </w:r>
      <w:r>
        <w:rPr>
          <w:rFonts w:ascii="Times New Roman" w:hAnsi="Times New Roman" w:cs="Times New Roman"/>
          <w:sz w:val="24"/>
          <w:szCs w:val="24"/>
        </w:rPr>
        <w:t>-水（22</w:t>
      </w:r>
      <w:r>
        <w:rPr>
          <w:rFonts w:hint="eastAsia" w:ascii="宋体" w:hAnsi="宋体" w:eastAsia="宋体" w:cs="宋体"/>
          <w:color w:val="0070C0"/>
          <w:kern w:val="0"/>
          <w:sz w:val="18"/>
          <w:szCs w:val="18"/>
        </w:rPr>
        <w:t>∶</w:t>
      </w:r>
      <w:r>
        <w:rPr>
          <w:rFonts w:ascii="Times New Roman" w:hAnsi="Times New Roman" w:cs="Times New Roman"/>
          <w:sz w:val="24"/>
          <w:szCs w:val="24"/>
        </w:rPr>
        <w:t>78）为流动相；检测波长为286nm。理论板数按</w:t>
      </w:r>
      <w:r>
        <w:rPr>
          <w:rFonts w:ascii="Times New Roman" w:hAnsi="Times New Roman" w:cs="Times New Roman"/>
          <w:kern w:val="0"/>
          <w:sz w:val="24"/>
          <w:szCs w:val="24"/>
        </w:rPr>
        <w:t>岩白菜素峰</w:t>
      </w:r>
      <w:r>
        <w:rPr>
          <w:rFonts w:ascii="Times New Roman" w:hAnsi="Times New Roman" w:cs="Times New Roman"/>
          <w:sz w:val="24"/>
          <w:szCs w:val="24"/>
        </w:rPr>
        <w:t xml:space="preserve">计算应不低于3000。 </w:t>
      </w:r>
    </w:p>
    <w:p>
      <w:pPr>
        <w:spacing w:line="360" w:lineRule="auto"/>
        <w:ind w:firstLine="540" w:firstLineChars="2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bCs/>
          <w:sz w:val="24"/>
          <w:szCs w:val="24"/>
        </w:rPr>
        <w:t>对照品溶液的制备</w:t>
      </w:r>
      <w:r>
        <w:rPr>
          <w:rFonts w:hint="eastAsia" w:ascii="Times New Roman" w:hAnsi="Times New Roman" w:eastAsia="黑体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取</w:t>
      </w:r>
      <w:r>
        <w:rPr>
          <w:rFonts w:ascii="Times New Roman" w:hAnsi="Times New Roman" w:cs="Times New Roman"/>
          <w:kern w:val="0"/>
          <w:sz w:val="24"/>
          <w:szCs w:val="24"/>
        </w:rPr>
        <w:t>岩白菜素</w:t>
      </w:r>
      <w:r>
        <w:rPr>
          <w:rFonts w:ascii="Times New Roman" w:hAnsi="Times New Roman" w:cs="Times New Roman"/>
          <w:sz w:val="24"/>
          <w:szCs w:val="24"/>
        </w:rPr>
        <w:t>对照品适量，精密称定，加流动相制成每1ml含40μg的溶液，即得。</w:t>
      </w:r>
    </w:p>
    <w:p>
      <w:pPr>
        <w:autoSpaceDE w:val="0"/>
        <w:autoSpaceDN w:val="0"/>
        <w:adjustRightInd w:val="0"/>
        <w:spacing w:line="360" w:lineRule="auto"/>
        <w:ind w:firstLine="540" w:firstLineChars="225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eastAsia="黑体" w:cs="Times New Roman"/>
          <w:bCs/>
          <w:sz w:val="24"/>
          <w:szCs w:val="24"/>
        </w:rPr>
        <w:t>供试品溶液的制备</w:t>
      </w:r>
      <w:r>
        <w:rPr>
          <w:rFonts w:hint="eastAsia" w:ascii="Times New Roman" w:hAnsi="Times New Roman" w:eastAsia="黑体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取本品粉末（过三号筛）0.1g，精密称定，</w:t>
      </w:r>
      <w:r>
        <w:rPr>
          <w:rFonts w:ascii="Times New Roman" w:hAnsi="Times New Roman" w:cs="Times New Roman"/>
          <w:kern w:val="0"/>
          <w:sz w:val="24"/>
          <w:szCs w:val="24"/>
        </w:rPr>
        <w:t>置具塞锥形瓶中，精密加入流动相25ml，称定重量，超声处理（功率320W，频率40kHz）30分钟，放冷，再称定重量，用流动相补足减失的重量，摇匀，滤过，取续滤液，即得。</w:t>
      </w:r>
    </w:p>
    <w:p>
      <w:pPr>
        <w:spacing w:line="360" w:lineRule="auto"/>
        <w:ind w:firstLine="540" w:firstLineChars="2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bCs/>
          <w:sz w:val="24"/>
          <w:szCs w:val="24"/>
        </w:rPr>
        <w:t>测定法</w:t>
      </w:r>
      <w:r>
        <w:rPr>
          <w:rFonts w:hint="eastAsia" w:ascii="Times New Roman" w:hAnsi="Times New Roman" w:eastAsia="黑体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分别精密吸取对照品溶液和供试品溶液各10μl，注入液相色谱仪，测定，即得。</w:t>
      </w:r>
    </w:p>
    <w:p>
      <w:pPr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本品按干燥品计算，含岩白菜素（C</w:t>
      </w:r>
      <w:r>
        <w:rPr>
          <w:rFonts w:ascii="Times New Roman" w:hAnsi="Times New Roman" w:cs="Times New Roman"/>
          <w:sz w:val="24"/>
          <w:szCs w:val="24"/>
          <w:vertAlign w:val="subscript"/>
        </w:rPr>
        <w:t>14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16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9</w:t>
      </w:r>
      <w:r>
        <w:rPr>
          <w:rFonts w:hint="eastAsia" w:ascii="Times New Roman" w:hAnsi="Times New Roman" w:cs="Times New Roman"/>
          <w:sz w:val="24"/>
          <w:szCs w:val="24"/>
        </w:rPr>
        <w:t xml:space="preserve"> ）</w:t>
      </w:r>
      <w:r>
        <w:rPr>
          <w:rFonts w:ascii="Times New Roman" w:hAnsi="Times New Roman" w:cs="Times New Roman"/>
          <w:sz w:val="24"/>
          <w:szCs w:val="24"/>
        </w:rPr>
        <w:t>不得少于1.0%。</w:t>
      </w:r>
    </w:p>
    <w:p>
      <w:pPr>
        <w:spacing w:line="580" w:lineRule="exact"/>
        <w:ind w:right="-512" w:rightChars="-244" w:firstLine="542" w:firstLineChars="225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>【性味与归经】</w:t>
      </w:r>
      <w:r>
        <w:rPr>
          <w:rFonts w:hint="eastAsia" w:ascii="Times New Roman" w:hAnsi="Times New Roman" w:eastAsia="黑体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辛、微苦，平。归肝经。</w:t>
      </w:r>
    </w:p>
    <w:p>
      <w:pPr>
        <w:spacing w:line="580" w:lineRule="exact"/>
        <w:ind w:right="-512" w:rightChars="-244" w:firstLine="542" w:firstLineChars="225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>【功能与主治】</w:t>
      </w:r>
      <w:r>
        <w:rPr>
          <w:rFonts w:hint="eastAsia" w:ascii="Times New Roman" w:hAnsi="Times New Roman" w:eastAsia="黑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祛风除湿，活血通络。用于风湿痹痛，腰肌劳损，肢体麻痹，跌打损伤。</w:t>
      </w:r>
    </w:p>
    <w:p>
      <w:pPr>
        <w:spacing w:line="580" w:lineRule="exact"/>
        <w:ind w:right="-512" w:rightChars="-244" w:firstLine="542" w:firstLineChars="225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>【用法与用量】</w:t>
      </w:r>
      <w:r>
        <w:rPr>
          <w:rFonts w:hint="eastAsia" w:ascii="Times New Roman" w:hAnsi="Times New Roman" w:eastAsia="宋体" w:cs="Times New Roman"/>
          <w:b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10</w:t>
      </w:r>
      <w:r>
        <w:rPr>
          <w:rFonts w:hint="eastAsia" w:ascii="Times New Roman" w:hAnsi="Times New Roman" w:eastAsia="宋体" w:cs="Times New Roman"/>
          <w:sz w:val="24"/>
          <w:szCs w:val="24"/>
        </w:rPr>
        <w:t>～</w:t>
      </w:r>
      <w:r>
        <w:rPr>
          <w:rFonts w:ascii="Times New Roman" w:hAnsi="Times New Roman" w:eastAsia="宋体" w:cs="Times New Roman"/>
          <w:sz w:val="24"/>
          <w:szCs w:val="24"/>
        </w:rPr>
        <w:t>30g。外用适量，捣敷。</w:t>
      </w:r>
    </w:p>
    <w:p>
      <w:pPr>
        <w:spacing w:line="580" w:lineRule="exact"/>
        <w:ind w:firstLine="542" w:firstLineChars="225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>【贮藏】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置干燥处。</w:t>
      </w:r>
    </w:p>
    <w:p>
      <w:pPr>
        <w:spacing w:line="580" w:lineRule="exact"/>
        <w:ind w:firstLine="48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>【药材标准】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《广西壮族自治区壮药质量标准》第二卷、《广西壮族自治区瑶药材质量标准》第一卷。</w:t>
      </w: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cs="Times New Roman"/>
        </w:rPr>
      </w:pPr>
    </w:p>
    <w:sectPr>
      <w:headerReference r:id="rId4" w:type="first"/>
      <w:footerReference r:id="rId6" w:type="first"/>
      <w:headerReference r:id="rId3" w:type="default"/>
      <w:footerReference r:id="rId5" w:type="default"/>
      <w:pgSz w:w="11906" w:h="16838"/>
      <w:pgMar w:top="1440" w:right="1274" w:bottom="1440" w:left="1418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left"/>
      <w:rPr>
        <w:sz w:val="24"/>
        <w:szCs w:val="24"/>
      </w:rPr>
    </w:pPr>
    <w:r>
      <w:rPr>
        <w:sz w:val="24"/>
        <w:szCs w:val="24"/>
      </w:rPr>
      <mc:AlternateContent>
        <mc:Choice Requires="wpg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posOffset>16510</wp:posOffset>
              </wp:positionH>
              <wp:positionV relativeFrom="bottomMargin">
                <wp:posOffset>-671195</wp:posOffset>
              </wp:positionV>
              <wp:extent cx="6008370" cy="525145"/>
              <wp:effectExtent l="0" t="0" r="0" b="8255"/>
              <wp:wrapSquare wrapText="bothSides"/>
              <wp:docPr id="37" name="组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08370" cy="525145"/>
                        <a:chOff x="19050" y="-512636"/>
                        <a:chExt cx="6028248" cy="531462"/>
                      </a:xfrm>
                    </wpg:grpSpPr>
                    <wps:wsp>
                      <wps:cNvPr id="38" name="矩形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  <wps:wsp>
                      <wps:cNvPr id="39" name="文本框 39"/>
                      <wps:cNvSpPr txBox="1"/>
                      <wps:spPr>
                        <a:xfrm>
                          <a:off x="103698" y="-51263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808080" w:themeColor="text1" w:themeTint="8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alias w:val="日期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yyyy-M-d"/>
                                <w:lid w:val="zh-CN"/>
                                <w:storeMappedDataAs w:val="datetime"/>
                                <w:calendar w:val="gregorian"/>
                              </w:date>
                            </w:sdtPr>
                            <w:sdtEndPr>
                              <w:rPr>
                                <w:color w:val="808080" w:themeColor="text1" w:themeTint="8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sdtEndPr>
                            <w:sdtContent>
                              <w:p>
                                <w:pPr>
                                  <w:jc w:val="right"/>
                                  <w:rPr>
                                    <w:color w:val="808080" w:themeColor="text1" w:themeTint="80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808080" w:themeColor="text1" w:themeTint="80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>
                            <w:pPr>
                              <w:jc w:val="right"/>
                              <w:rPr>
                                <w:color w:val="7F7F7F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组 37" o:spid="_x0000_s1026" o:spt="203" style="position:absolute;left:0pt;margin-left:72.2pt;margin-top:681.8pt;height:41.35pt;width:473.1pt;mso-position-horizontal-relative:page;mso-position-vertical-relative:page;mso-wrap-distance-bottom:0pt;mso-wrap-distance-left:0pt;mso-wrap-distance-right:0pt;mso-wrap-distance-top:0pt;z-index:251659264;mso-width-relative:page;mso-height-relative:page;" coordorigin="19050,-512636" coordsize="6028248,531462" o:gfxdata="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">
              <o:lock v:ext="edit" aspectratio="f"/>
              <v:rect id="_x0000_s1026" o:spid="_x0000_s1026" o:spt="1" style="position:absolute;left:19050;top:0;height:18826;width:5943600;v-text-anchor:middle;" fillcolor="#000000 [3213]" filled="t" stroked="f" coordsize="21600,21600" o:gfxdata="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WWsgvQAA&#10;ANsAAAAPAAAAAAAAAAEAIAAAACIAAABkcnMvZG93bnJldi54bWxQSwECFAAUAAAACACHTuJAMy8F&#10;njsAAAA5AAAAEAAAAAAAAAABACAAAAAMAQAAZHJzL3NoYXBleG1sLnhtbFBLBQYAAAAABgAGAFsB&#10;AAC2AwAAAAA=&#10;">
                <v:fill on="t" focussize="0,0"/>
                <v:stroke on="f" weight="1pt" miterlimit="8" joinstyle="miter"/>
                <v:imagedata o:title=""/>
                <o:lock v:ext="edit" aspectratio="f"/>
              </v:rect>
              <v:shape id="_x0000_s1026" o:spid="_x0000_s1026" o:spt="202" type="#_x0000_t202" style="position:absolute;left:103698;top:-512636;height:257175;width:5943600;v-text-anchor:bottom;" filled="f" stroked="f" coordsize="21600,21600" o:gfxdata="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6tu19vQAA&#10;ANsAAAAPAAAAAAAAAAEAIAAAACIAAABkcnMvZG93bnJldi54bWxQSwECFAAUAAAACACHTuJAMy8F&#10;njsAAAA5AAAAEAAAAAAAAAABACAAAAAMAQAAZHJzL3NoYXBleG1sLnhtbFBLBQYAAAAABgAGAFsB&#10;AAC2AwAAAAA=&#10;">
                <v:fill on="f" focussize="0,0"/>
                <v:stroke on="f" weight="0.5pt"/>
                <v:imagedata o:title=""/>
                <o:lock v:ext="edit" aspectratio="f"/>
                <v:textbox inset="2.54mm,1.27mm,2.54mm,0mm">
                  <w:txbxContent>
                    <w:sdt>
                      <w:sdtPr>
                        <w:rPr>
                          <w:color w:val="808080" w:themeColor="text1" w:themeTint="8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alias w:val="日期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yyyy-M-d"/>
                          <w:lid w:val="zh-CN"/>
                          <w:storeMappedDataAs w:val="datetime"/>
                          <w:calendar w:val="gregorian"/>
                        </w:date>
                      </w:sdtPr>
                      <w:sdtEndPr>
                        <w:rPr>
                          <w:color w:val="808080" w:themeColor="text1" w:themeTint="8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sdtEndPr>
                      <w:sdtContent>
                        <w:p>
                          <w:pPr>
                            <w:jc w:val="right"/>
                            <w:rPr>
                              <w:color w:val="808080" w:themeColor="text1" w:themeTint="80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808080" w:themeColor="text1" w:themeTint="80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 xml:space="preserve">     </w:t>
                          </w:r>
                        </w:p>
                      </w:sdtContent>
                    </w:sdt>
                    <w:p>
                      <w:pPr>
                        <w:jc w:val="right"/>
                        <w:rPr>
                          <w:color w:val="7F7F7F" w:themeColor="background1" w:themeShade="80"/>
                        </w:rPr>
                      </w:pPr>
                    </w:p>
                  </w:txbxContent>
                </v:textbox>
              </v:shape>
              <w10:wrap type="square"/>
            </v:group>
          </w:pict>
        </mc:Fallback>
      </mc:AlternateContent>
    </w:r>
    <w:r>
      <w:rPr>
        <w:rFonts w:hint="eastAsia"/>
        <w:sz w:val="24"/>
        <w:szCs w:val="24"/>
      </w:rPr>
      <w:t xml:space="preserve">起草单位：广西壮族自治区食品药品检验所    </w:t>
    </w:r>
    <w:r>
      <w:rPr>
        <w:sz w:val="24"/>
        <w:szCs w:val="24"/>
      </w:rPr>
      <w:t>广西</w:t>
    </w:r>
    <w:r>
      <w:rPr>
        <w:rFonts w:hint="eastAsia"/>
        <w:sz w:val="24"/>
        <w:szCs w:val="24"/>
      </w:rPr>
      <w:t>宝正药业</w:t>
    </w:r>
    <w:r>
      <w:rPr>
        <w:sz w:val="24"/>
        <w:szCs w:val="24"/>
      </w:rPr>
      <w:t>有限公司</w:t>
    </w:r>
  </w:p>
  <w:p>
    <w:pPr>
      <w:ind w:firstLine="1200" w:firstLineChars="500"/>
      <w:jc w:val="left"/>
      <w:rPr>
        <w:sz w:val="24"/>
        <w:szCs w:val="24"/>
      </w:rPr>
    </w:pPr>
    <w:r>
      <w:rPr>
        <w:rFonts w:hint="eastAsia"/>
        <w:sz w:val="24"/>
        <w:szCs w:val="24"/>
      </w:rPr>
      <w:t xml:space="preserve">广西仙茱中药科技有限公司     </w:t>
    </w:r>
  </w:p>
  <w:p>
    <w:pPr>
      <w:jc w:val="left"/>
      <w:rPr>
        <w:sz w:val="24"/>
        <w:szCs w:val="24"/>
      </w:rPr>
    </w:pPr>
    <w:bookmarkStart w:id="0" w:name="_GoBack"/>
    <w:r>
      <w:rPr>
        <w:rFonts w:hint="eastAsia"/>
        <w:sz w:val="24"/>
        <w:szCs w:val="24"/>
      </w:rPr>
      <w:t>复核单位：广西壮族自治区食品药品检验所</w:t>
    </w:r>
  </w:p>
  <w:bookmarkEnd w:id="0"/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hMThhZTY5MDJlNTIyNjlmZDFmYjQyYjhhMGM1ZTQifQ=="/>
  </w:docVars>
  <w:rsids>
    <w:rsidRoot w:val="00280FBB"/>
    <w:rsid w:val="00017ED6"/>
    <w:rsid w:val="00060B05"/>
    <w:rsid w:val="000A08D5"/>
    <w:rsid w:val="000D303B"/>
    <w:rsid w:val="000D4F67"/>
    <w:rsid w:val="0010037A"/>
    <w:rsid w:val="00100718"/>
    <w:rsid w:val="001143FB"/>
    <w:rsid w:val="0013286B"/>
    <w:rsid w:val="001445BD"/>
    <w:rsid w:val="00155BF8"/>
    <w:rsid w:val="001606EF"/>
    <w:rsid w:val="00160B7A"/>
    <w:rsid w:val="00172AE5"/>
    <w:rsid w:val="001765C8"/>
    <w:rsid w:val="001A7EFC"/>
    <w:rsid w:val="001B2B7C"/>
    <w:rsid w:val="001C09AF"/>
    <w:rsid w:val="00227073"/>
    <w:rsid w:val="00250662"/>
    <w:rsid w:val="002570DE"/>
    <w:rsid w:val="0026775B"/>
    <w:rsid w:val="00275CBB"/>
    <w:rsid w:val="00280FBB"/>
    <w:rsid w:val="00290F0D"/>
    <w:rsid w:val="002C25A2"/>
    <w:rsid w:val="002E10DB"/>
    <w:rsid w:val="003137E4"/>
    <w:rsid w:val="00350EA5"/>
    <w:rsid w:val="0035735B"/>
    <w:rsid w:val="00362D18"/>
    <w:rsid w:val="0036741B"/>
    <w:rsid w:val="00371EB5"/>
    <w:rsid w:val="003725DC"/>
    <w:rsid w:val="003727A0"/>
    <w:rsid w:val="00374C57"/>
    <w:rsid w:val="00374E22"/>
    <w:rsid w:val="0038365C"/>
    <w:rsid w:val="003C559D"/>
    <w:rsid w:val="003F128C"/>
    <w:rsid w:val="003F1906"/>
    <w:rsid w:val="003F3012"/>
    <w:rsid w:val="0040102B"/>
    <w:rsid w:val="00401D20"/>
    <w:rsid w:val="00423459"/>
    <w:rsid w:val="00447FC0"/>
    <w:rsid w:val="00465778"/>
    <w:rsid w:val="00482EBD"/>
    <w:rsid w:val="00483C7E"/>
    <w:rsid w:val="00486E6A"/>
    <w:rsid w:val="004A66F4"/>
    <w:rsid w:val="004B34E4"/>
    <w:rsid w:val="004B4F1B"/>
    <w:rsid w:val="004B5CA5"/>
    <w:rsid w:val="004D7F01"/>
    <w:rsid w:val="004E47E7"/>
    <w:rsid w:val="004E7D95"/>
    <w:rsid w:val="004F03EE"/>
    <w:rsid w:val="005040FC"/>
    <w:rsid w:val="0051473F"/>
    <w:rsid w:val="005172A6"/>
    <w:rsid w:val="0052550C"/>
    <w:rsid w:val="0052717F"/>
    <w:rsid w:val="005822DE"/>
    <w:rsid w:val="00593675"/>
    <w:rsid w:val="005B77EB"/>
    <w:rsid w:val="005C0742"/>
    <w:rsid w:val="005C57E9"/>
    <w:rsid w:val="00615E28"/>
    <w:rsid w:val="00643725"/>
    <w:rsid w:val="00644CE9"/>
    <w:rsid w:val="006478DD"/>
    <w:rsid w:val="0065309B"/>
    <w:rsid w:val="00683BE6"/>
    <w:rsid w:val="00691777"/>
    <w:rsid w:val="006A2D34"/>
    <w:rsid w:val="006B5A07"/>
    <w:rsid w:val="006D5A28"/>
    <w:rsid w:val="006E6B76"/>
    <w:rsid w:val="006F5415"/>
    <w:rsid w:val="00730164"/>
    <w:rsid w:val="00750726"/>
    <w:rsid w:val="007551DD"/>
    <w:rsid w:val="007748E6"/>
    <w:rsid w:val="00780E37"/>
    <w:rsid w:val="00790278"/>
    <w:rsid w:val="00790541"/>
    <w:rsid w:val="00796E61"/>
    <w:rsid w:val="007D02E3"/>
    <w:rsid w:val="008038BA"/>
    <w:rsid w:val="0081154C"/>
    <w:rsid w:val="008214B6"/>
    <w:rsid w:val="00822281"/>
    <w:rsid w:val="00825EAC"/>
    <w:rsid w:val="00826F92"/>
    <w:rsid w:val="008276AE"/>
    <w:rsid w:val="00852798"/>
    <w:rsid w:val="00853826"/>
    <w:rsid w:val="008548DF"/>
    <w:rsid w:val="008778E7"/>
    <w:rsid w:val="00882390"/>
    <w:rsid w:val="0088725C"/>
    <w:rsid w:val="00890005"/>
    <w:rsid w:val="008A0A72"/>
    <w:rsid w:val="008A4C86"/>
    <w:rsid w:val="008B0AC2"/>
    <w:rsid w:val="008B7245"/>
    <w:rsid w:val="008C6292"/>
    <w:rsid w:val="008C74EF"/>
    <w:rsid w:val="008E7B4A"/>
    <w:rsid w:val="008F2F26"/>
    <w:rsid w:val="0090044C"/>
    <w:rsid w:val="009355B9"/>
    <w:rsid w:val="00942BD0"/>
    <w:rsid w:val="009573F6"/>
    <w:rsid w:val="00962705"/>
    <w:rsid w:val="00965DDA"/>
    <w:rsid w:val="0097089B"/>
    <w:rsid w:val="00975279"/>
    <w:rsid w:val="009B5B8D"/>
    <w:rsid w:val="009B79F9"/>
    <w:rsid w:val="009C0E69"/>
    <w:rsid w:val="009C5B4D"/>
    <w:rsid w:val="009D029D"/>
    <w:rsid w:val="009F0346"/>
    <w:rsid w:val="009F1EF0"/>
    <w:rsid w:val="00A027C4"/>
    <w:rsid w:val="00A03619"/>
    <w:rsid w:val="00A109CB"/>
    <w:rsid w:val="00A1129C"/>
    <w:rsid w:val="00A13390"/>
    <w:rsid w:val="00A13CC5"/>
    <w:rsid w:val="00A674F3"/>
    <w:rsid w:val="00A675E2"/>
    <w:rsid w:val="00A904A3"/>
    <w:rsid w:val="00A91FE3"/>
    <w:rsid w:val="00A966DB"/>
    <w:rsid w:val="00AB67ED"/>
    <w:rsid w:val="00AE1C87"/>
    <w:rsid w:val="00B03E0A"/>
    <w:rsid w:val="00B41F1C"/>
    <w:rsid w:val="00B673B2"/>
    <w:rsid w:val="00B8553B"/>
    <w:rsid w:val="00B96658"/>
    <w:rsid w:val="00BA4804"/>
    <w:rsid w:val="00BC5648"/>
    <w:rsid w:val="00BD6917"/>
    <w:rsid w:val="00BF4ABA"/>
    <w:rsid w:val="00C047DB"/>
    <w:rsid w:val="00C061DE"/>
    <w:rsid w:val="00C116A9"/>
    <w:rsid w:val="00C21C53"/>
    <w:rsid w:val="00C24F33"/>
    <w:rsid w:val="00C25610"/>
    <w:rsid w:val="00C34582"/>
    <w:rsid w:val="00C4528B"/>
    <w:rsid w:val="00C45BED"/>
    <w:rsid w:val="00C57433"/>
    <w:rsid w:val="00C578D5"/>
    <w:rsid w:val="00C7545E"/>
    <w:rsid w:val="00C86518"/>
    <w:rsid w:val="00CB6A08"/>
    <w:rsid w:val="00CE1391"/>
    <w:rsid w:val="00CF6590"/>
    <w:rsid w:val="00D07950"/>
    <w:rsid w:val="00D10693"/>
    <w:rsid w:val="00D1650A"/>
    <w:rsid w:val="00D179CC"/>
    <w:rsid w:val="00D37C5F"/>
    <w:rsid w:val="00D441E5"/>
    <w:rsid w:val="00D5013C"/>
    <w:rsid w:val="00D51302"/>
    <w:rsid w:val="00D621A0"/>
    <w:rsid w:val="00D65CD6"/>
    <w:rsid w:val="00D73F48"/>
    <w:rsid w:val="00DA1035"/>
    <w:rsid w:val="00DA1482"/>
    <w:rsid w:val="00DA3B89"/>
    <w:rsid w:val="00DA7F0A"/>
    <w:rsid w:val="00DD001E"/>
    <w:rsid w:val="00DD64DE"/>
    <w:rsid w:val="00DE47C2"/>
    <w:rsid w:val="00E0017C"/>
    <w:rsid w:val="00E037D3"/>
    <w:rsid w:val="00E13BD8"/>
    <w:rsid w:val="00E27404"/>
    <w:rsid w:val="00E30924"/>
    <w:rsid w:val="00E3169F"/>
    <w:rsid w:val="00E45F65"/>
    <w:rsid w:val="00E521A8"/>
    <w:rsid w:val="00E52E3A"/>
    <w:rsid w:val="00E54D57"/>
    <w:rsid w:val="00E74C07"/>
    <w:rsid w:val="00E8783C"/>
    <w:rsid w:val="00E903E8"/>
    <w:rsid w:val="00E940EE"/>
    <w:rsid w:val="00EA6CE4"/>
    <w:rsid w:val="00EA6D82"/>
    <w:rsid w:val="00EB0E03"/>
    <w:rsid w:val="00EC0BAC"/>
    <w:rsid w:val="00EC575B"/>
    <w:rsid w:val="00ED4046"/>
    <w:rsid w:val="00EE020A"/>
    <w:rsid w:val="00EF1FE4"/>
    <w:rsid w:val="00EF3BAA"/>
    <w:rsid w:val="00F0587A"/>
    <w:rsid w:val="00F12A94"/>
    <w:rsid w:val="00F139AF"/>
    <w:rsid w:val="00F207F7"/>
    <w:rsid w:val="00F250C1"/>
    <w:rsid w:val="00F27843"/>
    <w:rsid w:val="00F333FD"/>
    <w:rsid w:val="00F37336"/>
    <w:rsid w:val="00F47F40"/>
    <w:rsid w:val="00F47F53"/>
    <w:rsid w:val="00F53122"/>
    <w:rsid w:val="00F64950"/>
    <w:rsid w:val="00F7611D"/>
    <w:rsid w:val="00F9009F"/>
    <w:rsid w:val="00F90F90"/>
    <w:rsid w:val="00FA4EA8"/>
    <w:rsid w:val="00FA58ED"/>
    <w:rsid w:val="00FA78D2"/>
    <w:rsid w:val="00FB56C5"/>
    <w:rsid w:val="00FD725E"/>
    <w:rsid w:val="1FA20A25"/>
    <w:rsid w:val="48FB5E3A"/>
    <w:rsid w:val="77A4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526FD8-1A7E-449B-90AC-DB1424DC96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1110</Words>
  <Characters>1291</Characters>
  <Lines>9</Lines>
  <Paragraphs>2</Paragraphs>
  <TotalTime>7</TotalTime>
  <ScaleCrop>false</ScaleCrop>
  <LinksUpToDate>false</LinksUpToDate>
  <CharactersWithSpaces>1320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2022-12-23T07:52:00Z</dcterms:created>
  <dc:creator>李丽莉</dc:creator>
  <cp:lastModifiedBy>黄玉华</cp:lastModifiedBy>
  <cp:lastPrinted>2022-12-05T01:26:00Z</cp:lastPrinted>
  <dcterms:modified xsi:type="dcterms:W3CDTF">2023-06-05T09:35:25Z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F087ADA82AC04DAFB924E673B031D290_12</vt:lpwstr>
  </property>
</Properties>
</file>