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E5" w:rsidRDefault="0051400F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土细辛</w:t>
      </w:r>
    </w:p>
    <w:p w:rsidR="00274EE5" w:rsidRDefault="0051400F">
      <w:pPr>
        <w:spacing w:line="360" w:lineRule="auto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Tuxixin</w:t>
      </w:r>
    </w:p>
    <w:p w:rsidR="00274EE5" w:rsidRDefault="0051400F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 w:hint="eastAsia"/>
          <w:b/>
          <w:color w:val="000000"/>
          <w:sz w:val="24"/>
        </w:rPr>
        <w:t>CHLORANTHI FORTUNEI HERBA</w:t>
      </w:r>
    </w:p>
    <w:p w:rsidR="00274EE5" w:rsidRDefault="00274EE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EE5" w:rsidRDefault="0051400F">
      <w:pPr>
        <w:spacing w:line="500" w:lineRule="exact"/>
        <w:ind w:firstLineChars="200" w:firstLine="482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【来源】</w:t>
      </w:r>
      <w:r>
        <w:rPr>
          <w:rFonts w:ascii="黑体" w:eastAsia="黑体" w:hAnsi="黑体" w:hint="eastAsia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</w:t>
      </w:r>
      <w:r>
        <w:rPr>
          <w:rFonts w:ascii="Times New Roman" w:hAnsi="Times New Roman" w:hint="eastAsia"/>
          <w:color w:val="000000"/>
          <w:sz w:val="24"/>
        </w:rPr>
        <w:t>为金粟兰科植物丝穂金粟兰</w:t>
      </w:r>
      <w:r>
        <w:rPr>
          <w:rFonts w:ascii="Times New Roman" w:hAnsi="Times New Roman" w:hint="eastAsia"/>
          <w:i/>
          <w:iCs/>
          <w:color w:val="000000"/>
          <w:sz w:val="24"/>
        </w:rPr>
        <w:t xml:space="preserve">Chloranthus </w:t>
      </w:r>
      <w:r>
        <w:rPr>
          <w:rFonts w:ascii="Times New Roman" w:hAnsi="Times New Roman"/>
          <w:i/>
          <w:iCs/>
          <w:color w:val="000000"/>
          <w:sz w:val="24"/>
        </w:rPr>
        <w:t>fortune</w:t>
      </w:r>
      <w:r>
        <w:rPr>
          <w:rFonts w:ascii="Times New Roman" w:hAnsi="Times New Roman" w:hint="eastAsia"/>
          <w:i/>
          <w:iCs/>
          <w:color w:val="000000"/>
          <w:sz w:val="24"/>
        </w:rPr>
        <w:t>i</w:t>
      </w:r>
      <w:r>
        <w:rPr>
          <w:rFonts w:ascii="Times New Roman" w:hAnsi="Times New Roman" w:hint="eastAsia"/>
          <w:color w:val="000000"/>
          <w:sz w:val="24"/>
        </w:rPr>
        <w:t>（</w:t>
      </w:r>
      <w:r>
        <w:rPr>
          <w:rFonts w:ascii="Times New Roman" w:hAnsi="Times New Roman" w:hint="eastAsia"/>
          <w:iCs/>
          <w:color w:val="000000"/>
          <w:sz w:val="24"/>
        </w:rPr>
        <w:t>A.Gray</w:t>
      </w:r>
      <w:r>
        <w:rPr>
          <w:rFonts w:ascii="Times New Roman" w:hAnsi="Times New Roman" w:hint="eastAsia"/>
          <w:color w:val="000000"/>
          <w:sz w:val="24"/>
        </w:rPr>
        <w:t>）</w:t>
      </w:r>
      <w:r>
        <w:rPr>
          <w:rFonts w:ascii="Times New Roman" w:hAnsi="Times New Roman" w:hint="eastAsia"/>
          <w:iCs/>
          <w:color w:val="000000"/>
          <w:sz w:val="24"/>
        </w:rPr>
        <w:t>Solms-Laub</w:t>
      </w:r>
      <w:r>
        <w:rPr>
          <w:rFonts w:ascii="Times New Roman" w:hAnsi="Times New Roman" w:hint="eastAsia"/>
          <w:i/>
          <w:iCs/>
          <w:color w:val="000000"/>
          <w:sz w:val="24"/>
        </w:rPr>
        <w:t>.</w:t>
      </w:r>
      <w:r>
        <w:rPr>
          <w:rFonts w:ascii="Times New Roman" w:hAnsi="Times New Roman" w:hint="eastAsia"/>
          <w:color w:val="000000"/>
          <w:sz w:val="24"/>
        </w:rPr>
        <w:t>的干燥全株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274EE5" w:rsidRDefault="0051400F">
      <w:pPr>
        <w:spacing w:line="500" w:lineRule="exact"/>
        <w:ind w:firstLineChars="200" w:firstLine="482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【炮制】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除去杂质，切段，干燥。</w:t>
      </w:r>
    </w:p>
    <w:p w:rsidR="00274EE5" w:rsidRDefault="0051400F">
      <w:pPr>
        <w:spacing w:line="500" w:lineRule="exact"/>
        <w:ind w:firstLineChars="200" w:firstLine="482"/>
        <w:rPr>
          <w:rFonts w:ascii="Times New Roman" w:hAnsi="Times New Roman"/>
          <w:color w:val="000000"/>
          <w:sz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【性状】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sz w:val="24"/>
        </w:rPr>
        <w:t>本品根茎呈结节状，</w:t>
      </w:r>
      <w:r>
        <w:rPr>
          <w:rFonts w:ascii="Times New Roman" w:hAnsi="Times New Roman" w:hint="eastAsia"/>
          <w:color w:val="000000"/>
          <w:sz w:val="24"/>
        </w:rPr>
        <w:t>直径</w:t>
      </w:r>
      <w:r>
        <w:rPr>
          <w:rFonts w:ascii="Times New Roman" w:hAnsi="Times New Roman" w:hint="eastAsia"/>
          <w:color w:val="000000"/>
          <w:sz w:val="24"/>
        </w:rPr>
        <w:t>2</w:t>
      </w:r>
      <w:r>
        <w:rPr>
          <w:rFonts w:ascii="Times New Roman" w:hAnsi="Times New Roman" w:hint="eastAsia"/>
          <w:color w:val="000000"/>
          <w:sz w:val="24"/>
        </w:rPr>
        <w:t>～</w:t>
      </w:r>
      <w:r>
        <w:rPr>
          <w:rFonts w:ascii="Times New Roman" w:hAnsi="Times New Roman" w:hint="eastAsia"/>
          <w:color w:val="000000"/>
          <w:sz w:val="24"/>
        </w:rPr>
        <w:t>4mm</w:t>
      </w:r>
      <w:r>
        <w:rPr>
          <w:rFonts w:ascii="Times New Roman" w:hAnsi="Times New Roman" w:hint="eastAsia"/>
          <w:color w:val="000000"/>
          <w:sz w:val="24"/>
        </w:rPr>
        <w:t>，上面着生多数须根。须根呈圆柱形，略弯曲，表面灰黄褐色，直径</w:t>
      </w:r>
      <w:r>
        <w:rPr>
          <w:rFonts w:ascii="Times New Roman" w:hAnsi="Times New Roman" w:hint="eastAsia"/>
          <w:color w:val="000000"/>
          <w:sz w:val="24"/>
        </w:rPr>
        <w:t>1</w:t>
      </w:r>
      <w:r>
        <w:rPr>
          <w:rFonts w:ascii="Times New Roman" w:hAnsi="Times New Roman" w:hint="eastAsia"/>
          <w:color w:val="000000"/>
          <w:sz w:val="24"/>
        </w:rPr>
        <w:t>～</w:t>
      </w:r>
      <w:r>
        <w:rPr>
          <w:rFonts w:ascii="Times New Roman" w:hAnsi="Times New Roman" w:hint="eastAsia"/>
          <w:color w:val="000000"/>
          <w:sz w:val="24"/>
        </w:rPr>
        <w:t>2mm</w:t>
      </w:r>
      <w:r>
        <w:rPr>
          <w:rFonts w:ascii="Times New Roman" w:hAnsi="Times New Roman" w:hint="eastAsia"/>
          <w:color w:val="000000"/>
          <w:sz w:val="24"/>
        </w:rPr>
        <w:t>。茎段呈扁圆柱形，表面黄绿色或黄褐色，具纵棱，断面中空。叶卷曲破碎，腹面暗绿色，背面淡绿色，质脆。气微香，味苦、辛。</w:t>
      </w:r>
    </w:p>
    <w:p w:rsidR="00274EE5" w:rsidRDefault="0051400F">
      <w:pPr>
        <w:tabs>
          <w:tab w:val="left" w:pos="435"/>
        </w:tabs>
        <w:spacing w:line="500" w:lineRule="exac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ab/>
      </w:r>
      <w:r>
        <w:rPr>
          <w:rFonts w:ascii="黑体" w:eastAsia="黑体" w:hAnsi="黑体" w:hint="eastAsia"/>
          <w:b/>
          <w:bCs/>
          <w:sz w:val="24"/>
          <w:szCs w:val="24"/>
        </w:rPr>
        <w:t>【鉴别】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）本品粉末灰棕色。淀粉粒类圆形或不规则形状，单粒或复粒，单粒直径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4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～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μm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。导管以螺纹导管和梯纹导管为主，直径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26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～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33</w:t>
      </w:r>
      <w:r>
        <w:rPr>
          <w:rFonts w:ascii="Times New Roman" w:hAnsi="Times New Roman" w:cs="Times New Roman"/>
          <w:kern w:val="0"/>
          <w:sz w:val="24"/>
          <w:szCs w:val="24"/>
        </w:rPr>
        <w:t>μm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。纤维单个散在或多个成束，直径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16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～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28</w:t>
      </w:r>
      <w:r>
        <w:rPr>
          <w:rFonts w:ascii="Times New Roman" w:hAnsi="Times New Roman" w:cs="Times New Roman"/>
          <w:kern w:val="0"/>
          <w:sz w:val="24"/>
          <w:szCs w:val="24"/>
        </w:rPr>
        <w:t>μm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。薄壁细胞有的含油滴。</w:t>
      </w:r>
    </w:p>
    <w:p w:rsidR="00274EE5" w:rsidRDefault="0051400F">
      <w:pPr>
        <w:spacing w:line="500" w:lineRule="exact"/>
        <w:ind w:firstLineChars="200" w:firstLine="480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）取本品粉末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2g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，加乙酸乙酯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20ml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，超声处理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30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分钟，滤过，取滤液，残渣再加乙酸乙酯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20ml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，重复处理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1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次，滤液合并蒸干，残渣加甲醇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1ml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使溶解，作为供试品溶液。另取土细辛对照药材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2g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，同法制成对照药材溶液。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照薄层色谱法（中国药典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年版通则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0502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）试验，吸取上述两种溶液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～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μ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l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，分别点于同一硅胶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G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薄层板上，以正己烷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-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乙酸乙酯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-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甲酸（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6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∶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1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∶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0.2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）为展开剂，展开，取出，晾干，喷以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5%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磷钼酸乙醇溶液，在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105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℃加热至斑点显色清晰。供试品色谱中，在与对照药材色谱相应的位置上，显相同颜色的斑点。</w:t>
      </w:r>
    </w:p>
    <w:p w:rsidR="00274EE5" w:rsidRDefault="0051400F">
      <w:pPr>
        <w:tabs>
          <w:tab w:val="left" w:pos="435"/>
        </w:tabs>
        <w:spacing w:line="500" w:lineRule="exact"/>
        <w:ind w:firstLineChars="200" w:firstLine="482"/>
        <w:rPr>
          <w:rFonts w:ascii="Times New Roman" w:hAnsi="Times New Roman" w:cs="Times New Roman"/>
          <w:kern w:val="0"/>
          <w:sz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【检查】</w:t>
      </w:r>
      <w:r>
        <w:rPr>
          <w:rFonts w:ascii="黑体" w:eastAsia="黑体" w:hAnsi="黑体" w:hint="eastAsia"/>
          <w:b/>
          <w:bCs/>
          <w:sz w:val="24"/>
          <w:szCs w:val="24"/>
        </w:rPr>
        <w:t xml:space="preserve"> </w:t>
      </w:r>
      <w:r>
        <w:rPr>
          <w:rFonts w:ascii="黑体" w:eastAsia="黑体" w:hAnsi="黑体" w:hint="eastAsia"/>
          <w:b/>
          <w:bCs/>
          <w:sz w:val="24"/>
          <w:szCs w:val="24"/>
        </w:rPr>
        <w:t>水分</w:t>
      </w:r>
      <w:r>
        <w:rPr>
          <w:rFonts w:ascii="Times New Roman" w:hAnsi="Times New Roman" w:cs="Times New Roman"/>
          <w:kern w:val="0"/>
          <w:sz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</w:rPr>
        <w:t>不得过</w:t>
      </w:r>
      <w:r>
        <w:rPr>
          <w:rFonts w:ascii="Times New Roman" w:hAnsi="Times New Roman" w:cs="Times New Roman" w:hint="eastAsia"/>
          <w:kern w:val="0"/>
          <w:sz w:val="24"/>
        </w:rPr>
        <w:t>13</w:t>
      </w:r>
      <w:bookmarkStart w:id="0" w:name="_GoBack"/>
      <w:bookmarkEnd w:id="0"/>
      <w:r>
        <w:rPr>
          <w:rFonts w:ascii="Times New Roman" w:hAnsi="Times New Roman" w:cs="Times New Roman"/>
          <w:kern w:val="0"/>
          <w:sz w:val="24"/>
        </w:rPr>
        <w:t>.0%</w:t>
      </w:r>
      <w:r>
        <w:rPr>
          <w:rFonts w:ascii="Times New Roman" w:hAnsi="Times New Roman" w:cs="Times New Roman" w:hint="eastAsia"/>
          <w:kern w:val="0"/>
          <w:sz w:val="24"/>
        </w:rPr>
        <w:t>。</w:t>
      </w:r>
      <w:r>
        <w:rPr>
          <w:rFonts w:ascii="Times New Roman" w:hAnsi="Times New Roman" w:cs="Times New Roman" w:hint="eastAsia"/>
          <w:kern w:val="0"/>
          <w:sz w:val="24"/>
        </w:rPr>
        <w:t>（中国药典</w:t>
      </w:r>
      <w:r>
        <w:rPr>
          <w:rFonts w:ascii="Times New Roman" w:hAnsi="Times New Roman" w:cs="Times New Roman" w:hint="eastAsia"/>
          <w:kern w:val="0"/>
          <w:sz w:val="24"/>
        </w:rPr>
        <w:t>2020</w:t>
      </w:r>
      <w:r>
        <w:rPr>
          <w:rFonts w:ascii="Times New Roman" w:hAnsi="Times New Roman" w:cs="Times New Roman" w:hint="eastAsia"/>
          <w:kern w:val="0"/>
          <w:sz w:val="24"/>
        </w:rPr>
        <w:t>年版通则</w:t>
      </w:r>
      <w:r>
        <w:rPr>
          <w:rFonts w:ascii="Times New Roman" w:hAnsi="Times New Roman" w:cs="Times New Roman"/>
          <w:kern w:val="0"/>
          <w:sz w:val="24"/>
        </w:rPr>
        <w:t>0832</w:t>
      </w:r>
      <w:r>
        <w:rPr>
          <w:rFonts w:ascii="Times New Roman" w:hAnsi="Times New Roman" w:cs="Times New Roman" w:hint="eastAsia"/>
          <w:kern w:val="0"/>
          <w:sz w:val="24"/>
        </w:rPr>
        <w:t>第二法）</w:t>
      </w:r>
    </w:p>
    <w:p w:rsidR="00274EE5" w:rsidRDefault="0051400F">
      <w:pPr>
        <w:tabs>
          <w:tab w:val="left" w:pos="435"/>
        </w:tabs>
        <w:spacing w:line="500" w:lineRule="exact"/>
        <w:ind w:firstLineChars="250" w:firstLine="602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总灰分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不得过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1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8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.0%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。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（中国药典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年版通则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2302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）</w:t>
      </w:r>
    </w:p>
    <w:p w:rsidR="00274EE5" w:rsidRDefault="0051400F">
      <w:pPr>
        <w:spacing w:line="500" w:lineRule="exact"/>
        <w:ind w:firstLineChars="245" w:firstLine="59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酸不溶性灰分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不得过</w:t>
      </w:r>
      <w:r>
        <w:rPr>
          <w:rFonts w:ascii="Times New Roman" w:hAnsi="Times New Roman" w:cs="Times New Roman" w:hint="eastAsia"/>
          <w:color w:val="000000" w:themeColor="text1"/>
          <w:sz w:val="24"/>
        </w:rPr>
        <w:t>8</w:t>
      </w:r>
      <w:r>
        <w:rPr>
          <w:rFonts w:ascii="Times New Roman" w:hAnsi="Times New Roman" w:cs="Times New Roman"/>
          <w:color w:val="000000" w:themeColor="text1"/>
          <w:sz w:val="24"/>
        </w:rPr>
        <w:t>.0%</w:t>
      </w:r>
      <w:r>
        <w:rPr>
          <w:rFonts w:ascii="Times New Roman" w:hAnsi="Times New Roman" w:cs="Times New Roman" w:hint="eastAsia"/>
          <w:color w:val="000000" w:themeColor="text1"/>
          <w:sz w:val="24"/>
        </w:rPr>
        <w:t>。</w:t>
      </w:r>
      <w:r>
        <w:rPr>
          <w:rFonts w:ascii="Times New Roman" w:hAnsi="Times New Roman" w:cs="Times New Roman" w:hint="eastAsia"/>
          <w:color w:val="000000" w:themeColor="text1"/>
          <w:sz w:val="24"/>
        </w:rPr>
        <w:t>（中国药典</w:t>
      </w:r>
      <w:r>
        <w:rPr>
          <w:rFonts w:ascii="Times New Roman" w:hAnsi="Times New Roman" w:cs="Times New Roman" w:hint="eastAsia"/>
          <w:color w:val="000000" w:themeColor="text1"/>
          <w:sz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sz w:val="24"/>
        </w:rPr>
        <w:t>年版通则</w:t>
      </w:r>
      <w:r>
        <w:rPr>
          <w:rFonts w:ascii="Times New Roman" w:hAnsi="Times New Roman" w:cs="Times New Roman"/>
          <w:color w:val="000000" w:themeColor="text1"/>
          <w:sz w:val="24"/>
        </w:rPr>
        <w:t>2302</w:t>
      </w:r>
      <w:r>
        <w:rPr>
          <w:rFonts w:ascii="Times New Roman" w:hAnsi="Times New Roman" w:cs="Times New Roman" w:hint="eastAsia"/>
          <w:color w:val="000000" w:themeColor="text1"/>
          <w:sz w:val="24"/>
        </w:rPr>
        <w:t>）</w:t>
      </w:r>
    </w:p>
    <w:p w:rsidR="00274EE5" w:rsidRDefault="0051400F">
      <w:pPr>
        <w:spacing w:line="500" w:lineRule="exact"/>
        <w:ind w:firstLineChars="196" w:firstLine="472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【浸出物】</w:t>
      </w:r>
      <w:r>
        <w:rPr>
          <w:rFonts w:ascii="Times New Roman" w:eastAsia="黑体" w:hAnsi="Times New Roman" w:cs="Times New Roman"/>
          <w:b/>
          <w:kern w:val="0"/>
          <w:sz w:val="24"/>
          <w:szCs w:val="28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szCs w:val="28"/>
        </w:rPr>
        <w:t>照水溶性浸出物测定法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项下的冷浸法</w:t>
      </w:r>
      <w:r>
        <w:rPr>
          <w:rFonts w:ascii="Times New Roman" w:hAnsi="Times New Roman" w:cs="Times New Roman" w:hint="eastAsia"/>
          <w:kern w:val="0"/>
          <w:sz w:val="24"/>
          <w:szCs w:val="28"/>
        </w:rPr>
        <w:t>（中国药典</w:t>
      </w:r>
      <w:r>
        <w:rPr>
          <w:rFonts w:ascii="Times New Roman" w:hAnsi="Times New Roman" w:cs="Times New Roman" w:hint="eastAsia"/>
          <w:kern w:val="0"/>
          <w:sz w:val="24"/>
          <w:szCs w:val="28"/>
        </w:rPr>
        <w:t>2020</w:t>
      </w:r>
      <w:r>
        <w:rPr>
          <w:rFonts w:ascii="Times New Roman" w:hAnsi="Times New Roman" w:cs="Times New Roman" w:hint="eastAsia"/>
          <w:kern w:val="0"/>
          <w:sz w:val="24"/>
          <w:szCs w:val="28"/>
        </w:rPr>
        <w:t>年版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通则</w:t>
      </w:r>
      <w:r>
        <w:rPr>
          <w:rFonts w:ascii="Times New Roman" w:hAnsi="Times New Roman" w:cs="Times New Roman"/>
          <w:kern w:val="0"/>
          <w:sz w:val="24"/>
          <w:szCs w:val="24"/>
        </w:rPr>
        <w:t>2201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）测定，不得少于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10</w:t>
      </w:r>
      <w:r>
        <w:rPr>
          <w:rFonts w:ascii="Times New Roman" w:hAnsi="Times New Roman" w:cs="Times New Roman"/>
          <w:kern w:val="0"/>
          <w:sz w:val="24"/>
          <w:szCs w:val="24"/>
        </w:rPr>
        <w:t>.0%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。</w:t>
      </w:r>
    </w:p>
    <w:p w:rsidR="00274EE5" w:rsidRDefault="0051400F">
      <w:pPr>
        <w:spacing w:line="50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【性味与归经】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sz w:val="24"/>
        </w:rPr>
        <w:t>辛、苦，温。有小毒。归肺、肝经。</w:t>
      </w:r>
    </w:p>
    <w:p w:rsidR="00274EE5" w:rsidRDefault="0051400F">
      <w:pPr>
        <w:spacing w:line="500" w:lineRule="exact"/>
        <w:ind w:firstLineChars="200" w:firstLine="482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lastRenderedPageBreak/>
        <w:t>【功能与主治】</w:t>
      </w:r>
      <w:r>
        <w:rPr>
          <w:rFonts w:ascii="黑体" w:eastAsia="黑体" w:hAnsi="黑体" w:hint="eastAsia"/>
          <w:b/>
          <w:bCs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祛风散寒，解毒消肿。用于风湿性关节炎，慢性肠胃炎、菌痢，风寒咳嗽，跌打肿痛，疮疖肿痛。</w:t>
      </w:r>
    </w:p>
    <w:p w:rsidR="00274EE5" w:rsidRDefault="0051400F">
      <w:pPr>
        <w:spacing w:line="5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【用法与用量】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sz w:val="24"/>
        </w:rPr>
        <w:t>0.5</w:t>
      </w:r>
      <w:r>
        <w:rPr>
          <w:rFonts w:ascii="Times New Roman" w:hAnsi="Times New Roman"/>
          <w:color w:val="000000"/>
          <w:sz w:val="24"/>
        </w:rPr>
        <w:t>～</w:t>
      </w:r>
      <w:r>
        <w:rPr>
          <w:rFonts w:ascii="Times New Roman" w:hAnsi="Times New Roman" w:hint="eastAsia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g</w:t>
      </w:r>
      <w:r>
        <w:rPr>
          <w:rFonts w:ascii="Times New Roman" w:hAnsi="Times New Roman" w:hint="eastAsia"/>
          <w:color w:val="000000"/>
          <w:sz w:val="24"/>
        </w:rPr>
        <w:t>。外用</w:t>
      </w:r>
      <w:r>
        <w:rPr>
          <w:rFonts w:ascii="Times New Roman" w:hAnsi="Times New Roman" w:hint="eastAsia"/>
          <w:color w:val="000000"/>
          <w:sz w:val="24"/>
        </w:rPr>
        <w:t>10</w:t>
      </w:r>
      <w:r>
        <w:rPr>
          <w:rFonts w:ascii="Times New Roman" w:hAnsi="Times New Roman"/>
          <w:color w:val="000000"/>
          <w:sz w:val="24"/>
        </w:rPr>
        <w:t>～</w:t>
      </w:r>
      <w:r>
        <w:rPr>
          <w:rFonts w:ascii="Times New Roman" w:hAnsi="Times New Roman" w:hint="eastAsia"/>
          <w:color w:val="000000"/>
          <w:sz w:val="24"/>
        </w:rPr>
        <w:t>30g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EE5" w:rsidRDefault="0051400F">
      <w:pPr>
        <w:spacing w:line="5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【注意】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sz w:val="24"/>
        </w:rPr>
        <w:t>有心脏病、吐血史者及孕妇忌服。</w:t>
      </w:r>
    </w:p>
    <w:p w:rsidR="00274EE5" w:rsidRDefault="0051400F">
      <w:pPr>
        <w:spacing w:line="50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【贮藏】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sz w:val="24"/>
        </w:rPr>
        <w:t>置通风干燥处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274EE5" w:rsidRDefault="0051400F">
      <w:pPr>
        <w:spacing w:line="500" w:lineRule="exact"/>
        <w:ind w:firstLineChars="200" w:firstLine="482"/>
        <w:rPr>
          <w:sz w:val="30"/>
          <w:szCs w:val="30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【药材标准】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sz w:val="24"/>
        </w:rPr>
        <w:t>《广西壮族自治区瑶药材质量标准》第一卷。</w:t>
      </w:r>
    </w:p>
    <w:sectPr w:rsidR="00274EE5">
      <w:headerReference w:type="default" r:id="rId8"/>
      <w:footerReference w:type="first" r:id="rId9"/>
      <w:pgSz w:w="11906" w:h="16838"/>
      <w:pgMar w:top="1440" w:right="1274" w:bottom="1440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1400F">
      <w:r>
        <w:separator/>
      </w:r>
    </w:p>
  </w:endnote>
  <w:endnote w:type="continuationSeparator" w:id="0">
    <w:p w:rsidR="00000000" w:rsidRDefault="00514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EE5" w:rsidRDefault="0051400F">
    <w:pP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-180975</wp:posOffset>
              </wp:positionH>
              <wp:positionV relativeFrom="paragraph">
                <wp:posOffset>-196850</wp:posOffset>
              </wp:positionV>
              <wp:extent cx="5924550" cy="18415"/>
              <wp:effectExtent l="0" t="0" r="0" b="635"/>
              <wp:wrapSquare wrapText="bothSides"/>
              <wp:docPr id="38" name="矩形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rect id="_x0000_s1026" o:spid="_x0000_s1026" o:spt="1" style="position:absolute;left:0pt;margin-left:-14.25pt;margin-top:-15.5pt;height:1.45pt;width:466.5pt;mso-position-horizontal-relative:margin;mso-wrap-distance-bottom:0pt;mso-wrap-distance-left:9pt;mso-wrap-distance-right:9pt;mso-wrap-distance-top:0pt;z-index:251659264;v-text-anchor:middle;mso-width-relative:page;mso-height-relative:page;" fillcolor="#000000 [3213]" filled="t" stroked="f" coordsize="21600,21600" o:gfxdata="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aVm2vWAAAACwEAAA8AAAAAAAAAAQAgAAAAIgAAAGRycy9kb3ducmV2LnhtbFBLAQIU&#10;ABQAAAAIAIdO4kDFGalIZwIAAMwEAAAOAAAAAAAAAAEAIAAAACUBAABkcnMvZTJvRG9jLnhtbFBL&#10;BQYAAAAABgAGAFkBAAD+BQAAAAA=&#10;">
              <v:fill on="t" focussize="0,0"/>
              <v:stroke on="f" weight="1pt" miterlimit="8" joinstyle="miter"/>
              <v:imagedata o:title=""/>
              <o:lock v:ext="edit" aspectratio="f"/>
              <w10:wrap type="square"/>
            </v:rect>
          </w:pict>
        </mc:Fallback>
      </mc:AlternateContent>
    </w:r>
    <w:r>
      <w:rPr>
        <w:rFonts w:hint="eastAsia"/>
      </w:rPr>
      <w:t>起草单位：广西壮族自治区中医药研究院</w:t>
    </w:r>
    <w:r>
      <w:t xml:space="preserve">      </w:t>
    </w:r>
    <w:r>
      <w:rPr>
        <w:rFonts w:hint="eastAsia"/>
      </w:rPr>
      <w:t xml:space="preserve">             </w:t>
    </w:r>
    <w:r>
      <w:t xml:space="preserve"> </w:t>
    </w:r>
    <w:r>
      <w:rPr>
        <w:rFonts w:hint="eastAsia"/>
      </w:rPr>
      <w:t>广西仙茱中药科技有限公司</w:t>
    </w:r>
    <w:r>
      <w:t xml:space="preserve">         </w:t>
    </w:r>
    <w:r>
      <w:rPr>
        <w:rFonts w:hint="eastAsia"/>
      </w:rPr>
      <w:t xml:space="preserve">    </w:t>
    </w:r>
  </w:p>
  <w:p w:rsidR="00274EE5" w:rsidRDefault="0051400F">
    <w:pPr>
      <w:jc w:val="left"/>
    </w:pPr>
    <w:r>
      <w:rPr>
        <w:rFonts w:hint="eastAsia"/>
      </w:rPr>
      <w:t>复核单位：广西壮族自治区食品药品检验所</w:t>
    </w:r>
  </w:p>
  <w:p w:rsidR="00274EE5" w:rsidRDefault="00274EE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1400F">
      <w:r>
        <w:separator/>
      </w:r>
    </w:p>
  </w:footnote>
  <w:footnote w:type="continuationSeparator" w:id="0">
    <w:p w:rsidR="00000000" w:rsidRDefault="00514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EE5" w:rsidRDefault="00274EE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DNlODhjMmNjZjM1MWJjNDkwM2U2MjQwYzdiNTYifQ=="/>
  </w:docVars>
  <w:rsids>
    <w:rsidRoot w:val="00D525F2"/>
    <w:rsid w:val="0000245C"/>
    <w:rsid w:val="00060B05"/>
    <w:rsid w:val="0008475E"/>
    <w:rsid w:val="00086BA3"/>
    <w:rsid w:val="000A08D5"/>
    <w:rsid w:val="000A0C56"/>
    <w:rsid w:val="000D7ACC"/>
    <w:rsid w:val="000E18DB"/>
    <w:rsid w:val="000E5382"/>
    <w:rsid w:val="000F6C8B"/>
    <w:rsid w:val="0010037A"/>
    <w:rsid w:val="001143FB"/>
    <w:rsid w:val="001445BD"/>
    <w:rsid w:val="00181F08"/>
    <w:rsid w:val="001A4277"/>
    <w:rsid w:val="001A4F76"/>
    <w:rsid w:val="001B2B7C"/>
    <w:rsid w:val="001C09AF"/>
    <w:rsid w:val="001D7DDB"/>
    <w:rsid w:val="001F65E4"/>
    <w:rsid w:val="0020148B"/>
    <w:rsid w:val="00207F75"/>
    <w:rsid w:val="00211F89"/>
    <w:rsid w:val="002258F7"/>
    <w:rsid w:val="002570DE"/>
    <w:rsid w:val="00267A91"/>
    <w:rsid w:val="00271F4D"/>
    <w:rsid w:val="00274EE5"/>
    <w:rsid w:val="002F786F"/>
    <w:rsid w:val="003137E4"/>
    <w:rsid w:val="00362D18"/>
    <w:rsid w:val="003727A0"/>
    <w:rsid w:val="00374C57"/>
    <w:rsid w:val="00374E22"/>
    <w:rsid w:val="00395AB1"/>
    <w:rsid w:val="003C559D"/>
    <w:rsid w:val="003E0AFC"/>
    <w:rsid w:val="003F128C"/>
    <w:rsid w:val="003F1906"/>
    <w:rsid w:val="003F3012"/>
    <w:rsid w:val="0040102B"/>
    <w:rsid w:val="00401D20"/>
    <w:rsid w:val="00410215"/>
    <w:rsid w:val="0041447D"/>
    <w:rsid w:val="00414D20"/>
    <w:rsid w:val="0042034C"/>
    <w:rsid w:val="00421E6B"/>
    <w:rsid w:val="00437E91"/>
    <w:rsid w:val="00447FC0"/>
    <w:rsid w:val="00465778"/>
    <w:rsid w:val="00477BB3"/>
    <w:rsid w:val="00486E6A"/>
    <w:rsid w:val="004A5380"/>
    <w:rsid w:val="004A66F4"/>
    <w:rsid w:val="004B5CA5"/>
    <w:rsid w:val="004D0A25"/>
    <w:rsid w:val="004E7D95"/>
    <w:rsid w:val="004F03EE"/>
    <w:rsid w:val="0051385D"/>
    <w:rsid w:val="0051400F"/>
    <w:rsid w:val="0051473F"/>
    <w:rsid w:val="00523DB6"/>
    <w:rsid w:val="0052717F"/>
    <w:rsid w:val="00540699"/>
    <w:rsid w:val="00545D71"/>
    <w:rsid w:val="0056386B"/>
    <w:rsid w:val="005822DE"/>
    <w:rsid w:val="00591CC9"/>
    <w:rsid w:val="00593675"/>
    <w:rsid w:val="005976AB"/>
    <w:rsid w:val="005A5941"/>
    <w:rsid w:val="005B77EB"/>
    <w:rsid w:val="005C0742"/>
    <w:rsid w:val="005C57E9"/>
    <w:rsid w:val="005D257E"/>
    <w:rsid w:val="005D7F53"/>
    <w:rsid w:val="005E1BE3"/>
    <w:rsid w:val="0061439F"/>
    <w:rsid w:val="00615E28"/>
    <w:rsid w:val="00615E9B"/>
    <w:rsid w:val="00643725"/>
    <w:rsid w:val="006478DD"/>
    <w:rsid w:val="00683BE6"/>
    <w:rsid w:val="006947D4"/>
    <w:rsid w:val="006A06B6"/>
    <w:rsid w:val="006B5A07"/>
    <w:rsid w:val="006C41B9"/>
    <w:rsid w:val="006E6B76"/>
    <w:rsid w:val="00701935"/>
    <w:rsid w:val="007220EE"/>
    <w:rsid w:val="00730164"/>
    <w:rsid w:val="00750726"/>
    <w:rsid w:val="00750D10"/>
    <w:rsid w:val="007748E6"/>
    <w:rsid w:val="00787ECD"/>
    <w:rsid w:val="00790278"/>
    <w:rsid w:val="00790541"/>
    <w:rsid w:val="00796E61"/>
    <w:rsid w:val="007D02E3"/>
    <w:rsid w:val="007F166A"/>
    <w:rsid w:val="008038BA"/>
    <w:rsid w:val="0081154C"/>
    <w:rsid w:val="00822281"/>
    <w:rsid w:val="00826F92"/>
    <w:rsid w:val="00841966"/>
    <w:rsid w:val="00852798"/>
    <w:rsid w:val="00852C77"/>
    <w:rsid w:val="00853826"/>
    <w:rsid w:val="008548DF"/>
    <w:rsid w:val="00882390"/>
    <w:rsid w:val="0088725C"/>
    <w:rsid w:val="00890005"/>
    <w:rsid w:val="0089468E"/>
    <w:rsid w:val="008A0A72"/>
    <w:rsid w:val="008D24E0"/>
    <w:rsid w:val="008E7B4A"/>
    <w:rsid w:val="008E7E8C"/>
    <w:rsid w:val="008F2F26"/>
    <w:rsid w:val="00932824"/>
    <w:rsid w:val="00946E85"/>
    <w:rsid w:val="00954C65"/>
    <w:rsid w:val="009573F6"/>
    <w:rsid w:val="00965DDA"/>
    <w:rsid w:val="00966A7E"/>
    <w:rsid w:val="009749BE"/>
    <w:rsid w:val="009A2190"/>
    <w:rsid w:val="009B5B8D"/>
    <w:rsid w:val="009E0BA5"/>
    <w:rsid w:val="009F2654"/>
    <w:rsid w:val="00A109CB"/>
    <w:rsid w:val="00A13CC5"/>
    <w:rsid w:val="00A44192"/>
    <w:rsid w:val="00AB67ED"/>
    <w:rsid w:val="00AE1C87"/>
    <w:rsid w:val="00AF759D"/>
    <w:rsid w:val="00B13EEE"/>
    <w:rsid w:val="00B16E12"/>
    <w:rsid w:val="00B24E31"/>
    <w:rsid w:val="00B2692D"/>
    <w:rsid w:val="00B41F1C"/>
    <w:rsid w:val="00B673B2"/>
    <w:rsid w:val="00B8553B"/>
    <w:rsid w:val="00B91DE4"/>
    <w:rsid w:val="00B96658"/>
    <w:rsid w:val="00BA4804"/>
    <w:rsid w:val="00BB5435"/>
    <w:rsid w:val="00BE5358"/>
    <w:rsid w:val="00BE7222"/>
    <w:rsid w:val="00C03DE3"/>
    <w:rsid w:val="00C061DE"/>
    <w:rsid w:val="00C10C17"/>
    <w:rsid w:val="00C21C53"/>
    <w:rsid w:val="00C25610"/>
    <w:rsid w:val="00C3638F"/>
    <w:rsid w:val="00C42CC6"/>
    <w:rsid w:val="00C52914"/>
    <w:rsid w:val="00C7545E"/>
    <w:rsid w:val="00C86518"/>
    <w:rsid w:val="00CB3405"/>
    <w:rsid w:val="00CB6A08"/>
    <w:rsid w:val="00CE1391"/>
    <w:rsid w:val="00CE5687"/>
    <w:rsid w:val="00D10146"/>
    <w:rsid w:val="00D10693"/>
    <w:rsid w:val="00D1556E"/>
    <w:rsid w:val="00D37C5F"/>
    <w:rsid w:val="00D441E5"/>
    <w:rsid w:val="00D5013C"/>
    <w:rsid w:val="00D51302"/>
    <w:rsid w:val="00D525F2"/>
    <w:rsid w:val="00D56DD2"/>
    <w:rsid w:val="00D60BEE"/>
    <w:rsid w:val="00D621A0"/>
    <w:rsid w:val="00D636D1"/>
    <w:rsid w:val="00D65CD6"/>
    <w:rsid w:val="00D97D74"/>
    <w:rsid w:val="00DA1482"/>
    <w:rsid w:val="00DA7F0A"/>
    <w:rsid w:val="00DC6F09"/>
    <w:rsid w:val="00DD64DE"/>
    <w:rsid w:val="00DE1DB8"/>
    <w:rsid w:val="00DE76A0"/>
    <w:rsid w:val="00E0316D"/>
    <w:rsid w:val="00E037D3"/>
    <w:rsid w:val="00E13BD8"/>
    <w:rsid w:val="00E30924"/>
    <w:rsid w:val="00E45F65"/>
    <w:rsid w:val="00E521A8"/>
    <w:rsid w:val="00E54D57"/>
    <w:rsid w:val="00E632C6"/>
    <w:rsid w:val="00E903E8"/>
    <w:rsid w:val="00E940EE"/>
    <w:rsid w:val="00EA6468"/>
    <w:rsid w:val="00EB0E03"/>
    <w:rsid w:val="00EB5327"/>
    <w:rsid w:val="00EB5B6C"/>
    <w:rsid w:val="00EC0BAC"/>
    <w:rsid w:val="00EC4EF9"/>
    <w:rsid w:val="00EC547C"/>
    <w:rsid w:val="00ED750D"/>
    <w:rsid w:val="00EE020A"/>
    <w:rsid w:val="00EF3BAA"/>
    <w:rsid w:val="00F10DC3"/>
    <w:rsid w:val="00F207F7"/>
    <w:rsid w:val="00F250C1"/>
    <w:rsid w:val="00F27843"/>
    <w:rsid w:val="00F333FD"/>
    <w:rsid w:val="00F37336"/>
    <w:rsid w:val="00F42C66"/>
    <w:rsid w:val="00F47F53"/>
    <w:rsid w:val="00F53122"/>
    <w:rsid w:val="00F62B86"/>
    <w:rsid w:val="00F7611D"/>
    <w:rsid w:val="00F8302D"/>
    <w:rsid w:val="00F9009F"/>
    <w:rsid w:val="00FA4EA8"/>
    <w:rsid w:val="00FA58ED"/>
    <w:rsid w:val="00FB3F87"/>
    <w:rsid w:val="00FB6BA0"/>
    <w:rsid w:val="00FC5236"/>
    <w:rsid w:val="00FD725E"/>
    <w:rsid w:val="00FF4C63"/>
    <w:rsid w:val="46BD7AD9"/>
    <w:rsid w:val="563A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137</Words>
  <Characters>782</Characters>
  <Application>Microsoft Office Word</Application>
  <DocSecurity>0</DocSecurity>
  <Lines>6</Lines>
  <Paragraphs>1</Paragraphs>
  <ScaleCrop>false</ScaleCrop>
  <Company>Microsoft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李丽莉</dc:creator>
  <cp:lastModifiedBy>xb21cn</cp:lastModifiedBy>
  <cp:revision>5</cp:revision>
  <cp:lastPrinted>2023-02-17T03:28:00Z</cp:lastPrinted>
  <dcterms:created xsi:type="dcterms:W3CDTF">2023-02-22T02:32:00Z</dcterms:created>
  <dcterms:modified xsi:type="dcterms:W3CDTF">2023-06-01T07:25:00Z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60C6F695EFEE409A9CF035F9B62E6CD1_13</vt:lpwstr>
  </property>
</Properties>
</file>